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32"/>
        </w:rPr>
      </w:pPr>
    </w:p>
    <w:p>
      <w:pPr>
        <w:rPr>
          <w:rFonts w:ascii="仿宋_GB2312" w:hAnsi="仿宋_GB2312" w:eastAsia="仿宋_GB2312" w:cs="仿宋_GB2312"/>
          <w:sz w:val="32"/>
          <w:szCs w:val="32"/>
        </w:rPr>
      </w:pPr>
    </w:p>
    <w:tbl>
      <w:tblPr>
        <w:tblStyle w:val="5"/>
        <w:tblW w:w="8980" w:type="dxa"/>
        <w:tblInd w:w="93" w:type="dxa"/>
        <w:tblLayout w:type="fixed"/>
        <w:tblCellMar>
          <w:top w:w="0" w:type="dxa"/>
          <w:left w:w="108" w:type="dxa"/>
          <w:bottom w:w="0" w:type="dxa"/>
          <w:right w:w="108" w:type="dxa"/>
        </w:tblCellMar>
      </w:tblPr>
      <w:tblGrid>
        <w:gridCol w:w="1480"/>
        <w:gridCol w:w="1920"/>
        <w:gridCol w:w="1560"/>
        <w:gridCol w:w="1380"/>
        <w:gridCol w:w="196"/>
        <w:gridCol w:w="1224"/>
        <w:gridCol w:w="1220"/>
      </w:tblGrid>
      <w:tr>
        <w:tblPrEx>
          <w:tblCellMar>
            <w:top w:w="0" w:type="dxa"/>
            <w:left w:w="108" w:type="dxa"/>
            <w:bottom w:w="0" w:type="dxa"/>
            <w:right w:w="108" w:type="dxa"/>
          </w:tblCellMar>
        </w:tblPrEx>
        <w:trPr>
          <w:trHeight w:val="1245" w:hRule="atLeast"/>
        </w:trPr>
        <w:tc>
          <w:tcPr>
            <w:tcW w:w="8980" w:type="dxa"/>
            <w:gridSpan w:val="7"/>
            <w:vAlign w:val="center"/>
          </w:tcPr>
          <w:p>
            <w:pPr>
              <w:widowControl/>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2020年度随县人民检察院整体绩效自评表</w:t>
            </w:r>
          </w:p>
        </w:tc>
      </w:tr>
      <w:tr>
        <w:tblPrEx>
          <w:tblCellMar>
            <w:top w:w="0" w:type="dxa"/>
            <w:left w:w="108" w:type="dxa"/>
            <w:bottom w:w="0" w:type="dxa"/>
            <w:right w:w="108" w:type="dxa"/>
          </w:tblCellMar>
        </w:tblPrEx>
        <w:trPr>
          <w:trHeight w:val="390" w:hRule="atLeast"/>
        </w:trPr>
        <w:tc>
          <w:tcPr>
            <w:tcW w:w="3400" w:type="dxa"/>
            <w:gridSpan w:val="2"/>
            <w:vAlign w:val="center"/>
          </w:tcPr>
          <w:p>
            <w:pPr>
              <w:widowControl/>
              <w:jc w:val="left"/>
              <w:rPr>
                <w:rFonts w:ascii="Calibri" w:hAnsi="Calibri"/>
                <w:szCs w:val="22"/>
              </w:rPr>
            </w:pPr>
            <w:r>
              <w:rPr>
                <w:rFonts w:hint="eastAsia" w:ascii="仿宋_GB2312" w:hAnsi="宋体" w:eastAsia="仿宋_GB2312" w:cs="宋体"/>
                <w:kern w:val="0"/>
                <w:sz w:val="20"/>
                <w:szCs w:val="20"/>
              </w:rPr>
              <w:t>单位名称：随县人民检察院</w:t>
            </w:r>
          </w:p>
        </w:tc>
        <w:tc>
          <w:tcPr>
            <w:tcW w:w="5580" w:type="dxa"/>
            <w:gridSpan w:val="5"/>
            <w:vAlign w:val="center"/>
          </w:tcPr>
          <w:p>
            <w:pPr>
              <w:widowControl/>
              <w:ind w:firstLine="2200" w:firstLineChars="1100"/>
              <w:jc w:val="left"/>
              <w:rPr>
                <w:rFonts w:ascii="Calibri" w:hAnsi="Calibri"/>
                <w:szCs w:val="22"/>
              </w:rPr>
            </w:pPr>
            <w:r>
              <w:rPr>
                <w:rFonts w:hint="eastAsia" w:ascii="仿宋_GB2312" w:hAnsi="宋体" w:eastAsia="仿宋_GB2312" w:cs="宋体"/>
                <w:kern w:val="0"/>
                <w:sz w:val="20"/>
                <w:szCs w:val="20"/>
              </w:rPr>
              <w:t>填报日期：2021年3月11日</w:t>
            </w:r>
          </w:p>
        </w:tc>
      </w:tr>
      <w:tr>
        <w:tblPrEx>
          <w:tblCellMar>
            <w:top w:w="0" w:type="dxa"/>
            <w:left w:w="108" w:type="dxa"/>
            <w:bottom w:w="0" w:type="dxa"/>
            <w:right w:w="108" w:type="dxa"/>
          </w:tblCellMar>
        </w:tblPrEx>
        <w:trPr>
          <w:trHeight w:val="540" w:hRule="atLeast"/>
        </w:trPr>
        <w:tc>
          <w:tcPr>
            <w:tcW w:w="14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单位名称</w:t>
            </w:r>
          </w:p>
        </w:tc>
        <w:tc>
          <w:tcPr>
            <w:tcW w:w="7500" w:type="dxa"/>
            <w:gridSpan w:val="6"/>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随县人民检察院　</w:t>
            </w:r>
          </w:p>
        </w:tc>
      </w:tr>
      <w:tr>
        <w:tblPrEx>
          <w:tblCellMar>
            <w:top w:w="0" w:type="dxa"/>
            <w:left w:w="108" w:type="dxa"/>
            <w:bottom w:w="0" w:type="dxa"/>
            <w:right w:w="108" w:type="dxa"/>
          </w:tblCellMar>
        </w:tblPrEx>
        <w:trPr>
          <w:trHeight w:val="948" w:hRule="atLeast"/>
        </w:trPr>
        <w:tc>
          <w:tcPr>
            <w:tcW w:w="148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基本支出总额</w:t>
            </w:r>
          </w:p>
        </w:tc>
        <w:tc>
          <w:tcPr>
            <w:tcW w:w="3480" w:type="dxa"/>
            <w:gridSpan w:val="2"/>
            <w:tcBorders>
              <w:top w:val="single" w:color="auto" w:sz="4" w:space="0"/>
              <w:left w:val="nil"/>
              <w:bottom w:val="single" w:color="auto" w:sz="4" w:space="0"/>
              <w:right w:val="single" w:color="auto" w:sz="4" w:space="0"/>
            </w:tcBorders>
            <w:vAlign w:val="center"/>
          </w:tcPr>
          <w:p>
            <w:pPr>
              <w:widowControl/>
              <w:jc w:val="center"/>
              <w:rPr>
                <w:rFonts w:ascii="仿宋" w:hAnsi="仿宋" w:eastAsia="仿宋_GB2312"/>
                <w:sz w:val="32"/>
                <w:szCs w:val="32"/>
              </w:rPr>
            </w:pPr>
            <w:r>
              <w:rPr>
                <w:rFonts w:hint="eastAsia" w:ascii="仿宋_GB2312" w:hAnsi="宋体" w:eastAsia="仿宋_GB2312" w:cs="宋体"/>
                <w:kern w:val="0"/>
                <w:sz w:val="20"/>
                <w:szCs w:val="20"/>
              </w:rPr>
              <w:t>1123.48万元</w:t>
            </w:r>
          </w:p>
        </w:tc>
        <w:tc>
          <w:tcPr>
            <w:tcW w:w="1576" w:type="dxa"/>
            <w:gridSpan w:val="2"/>
            <w:tcBorders>
              <w:top w:val="nil"/>
              <w:left w:val="nil"/>
              <w:bottom w:val="single" w:color="auto" w:sz="4" w:space="0"/>
              <w:right w:val="single" w:color="auto" w:sz="4" w:space="0"/>
            </w:tcBorders>
            <w:vAlign w:val="center"/>
          </w:tcPr>
          <w:p>
            <w:pPr>
              <w:widowControl/>
              <w:jc w:val="center"/>
              <w:rPr>
                <w:rFonts w:ascii="仿宋" w:hAnsi="仿宋" w:eastAsia="仿宋"/>
                <w:sz w:val="32"/>
                <w:szCs w:val="32"/>
              </w:rPr>
            </w:pPr>
            <w:r>
              <w:rPr>
                <w:rFonts w:hint="eastAsia" w:ascii="仿宋" w:hAnsi="仿宋" w:eastAsia="仿宋"/>
                <w:sz w:val="20"/>
                <w:szCs w:val="20"/>
              </w:rPr>
              <w:t>项目支出总额</w:t>
            </w:r>
          </w:p>
        </w:tc>
        <w:tc>
          <w:tcPr>
            <w:tcW w:w="2444"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435.94万元</w:t>
            </w:r>
          </w:p>
        </w:tc>
      </w:tr>
      <w:tr>
        <w:tblPrEx>
          <w:tblCellMar>
            <w:top w:w="0" w:type="dxa"/>
            <w:left w:w="108" w:type="dxa"/>
            <w:bottom w:w="0" w:type="dxa"/>
            <w:right w:w="108" w:type="dxa"/>
          </w:tblCellMar>
        </w:tblPrEx>
        <w:trPr>
          <w:trHeight w:val="647" w:hRule="atLeast"/>
        </w:trPr>
        <w:tc>
          <w:tcPr>
            <w:tcW w:w="148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预算执行情况（万元）</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（20分）</w:t>
            </w:r>
          </w:p>
        </w:tc>
        <w:tc>
          <w:tcPr>
            <w:tcW w:w="1920" w:type="dxa"/>
            <w:tcBorders>
              <w:top w:val="nil"/>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　</w:t>
            </w:r>
          </w:p>
        </w:tc>
        <w:tc>
          <w:tcPr>
            <w:tcW w:w="156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预算数（A)</w:t>
            </w:r>
          </w:p>
        </w:tc>
        <w:tc>
          <w:tcPr>
            <w:tcW w:w="1576"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执行数（B)</w:t>
            </w:r>
          </w:p>
        </w:tc>
        <w:tc>
          <w:tcPr>
            <w:tcW w:w="122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执行率(</w:t>
            </w:r>
            <w:r>
              <w:rPr>
                <w:rFonts w:ascii="仿宋_GB2312" w:hAnsi="宋体" w:eastAsia="仿宋_GB2312" w:cs="宋体"/>
                <w:kern w:val="0"/>
                <w:sz w:val="20"/>
                <w:szCs w:val="20"/>
              </w:rPr>
              <w:t>B</w:t>
            </w:r>
            <w:r>
              <w:rPr>
                <w:rFonts w:hint="eastAsia" w:ascii="仿宋_GB2312" w:hAnsi="宋体" w:eastAsia="仿宋_GB2312" w:cs="宋体"/>
                <w:kern w:val="0"/>
                <w:sz w:val="20"/>
                <w:szCs w:val="20"/>
              </w:rPr>
              <w:t>/</w:t>
            </w:r>
            <w:r>
              <w:rPr>
                <w:rFonts w:ascii="仿宋_GB2312" w:hAnsi="宋体" w:eastAsia="仿宋_GB2312" w:cs="宋体"/>
                <w:kern w:val="0"/>
                <w:sz w:val="20"/>
                <w:szCs w:val="20"/>
              </w:rPr>
              <w:t>A</w:t>
            </w:r>
            <w:r>
              <w:rPr>
                <w:rFonts w:hint="eastAsia" w:ascii="仿宋_GB2312" w:hAnsi="宋体" w:eastAsia="仿宋_GB2312" w:cs="宋体"/>
                <w:kern w:val="0"/>
                <w:sz w:val="20"/>
                <w:szCs w:val="20"/>
              </w:rPr>
              <w:t>)</w:t>
            </w:r>
          </w:p>
        </w:tc>
        <w:tc>
          <w:tcPr>
            <w:tcW w:w="12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得分</w:t>
            </w:r>
          </w:p>
        </w:tc>
      </w:tr>
      <w:tr>
        <w:tblPrEx>
          <w:tblCellMar>
            <w:top w:w="0" w:type="dxa"/>
            <w:left w:w="108" w:type="dxa"/>
            <w:bottom w:w="0" w:type="dxa"/>
            <w:right w:w="108" w:type="dxa"/>
          </w:tblCellMar>
        </w:tblPrEx>
        <w:trPr>
          <w:trHeight w:val="660" w:hRule="atLeast"/>
        </w:trPr>
        <w:tc>
          <w:tcPr>
            <w:tcW w:w="148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p>
        </w:tc>
        <w:tc>
          <w:tcPr>
            <w:tcW w:w="19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部门整体支出总额</w:t>
            </w:r>
          </w:p>
        </w:tc>
        <w:tc>
          <w:tcPr>
            <w:tcW w:w="156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1628.66万元</w:t>
            </w:r>
          </w:p>
        </w:tc>
        <w:tc>
          <w:tcPr>
            <w:tcW w:w="1576"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1559.42万元</w:t>
            </w:r>
          </w:p>
        </w:tc>
        <w:tc>
          <w:tcPr>
            <w:tcW w:w="1224"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95.75%</w:t>
            </w:r>
          </w:p>
        </w:tc>
        <w:tc>
          <w:tcPr>
            <w:tcW w:w="1220" w:type="dxa"/>
            <w:tcBorders>
              <w:top w:val="nil"/>
              <w:left w:val="nil"/>
              <w:bottom w:val="single" w:color="auto" w:sz="4" w:space="0"/>
              <w:right w:val="single" w:color="auto" w:sz="4" w:space="0"/>
            </w:tcBorders>
            <w:vAlign w:val="center"/>
          </w:tcPr>
          <w:p>
            <w:pPr>
              <w:widowControl/>
              <w:tabs>
                <w:tab w:val="center" w:pos="502"/>
              </w:tabs>
              <w:jc w:val="left"/>
              <w:rPr>
                <w:rFonts w:ascii="仿宋_GB2312" w:hAnsi="宋体" w:eastAsia="仿宋_GB2312" w:cs="宋体"/>
                <w:kern w:val="0"/>
                <w:sz w:val="20"/>
                <w:szCs w:val="20"/>
              </w:rPr>
            </w:pPr>
            <w:r>
              <w:rPr>
                <w:rFonts w:hint="eastAsia" w:ascii="仿宋_GB2312" w:hAnsi="宋体" w:eastAsia="仿宋_GB2312" w:cs="宋体"/>
                <w:kern w:val="0"/>
                <w:sz w:val="20"/>
                <w:szCs w:val="20"/>
              </w:rPr>
              <w:t>19.14</w:t>
            </w:r>
          </w:p>
        </w:tc>
      </w:tr>
      <w:tr>
        <w:tblPrEx>
          <w:tblCellMar>
            <w:top w:w="0" w:type="dxa"/>
            <w:left w:w="108" w:type="dxa"/>
            <w:bottom w:w="0" w:type="dxa"/>
            <w:right w:w="108" w:type="dxa"/>
          </w:tblCellMar>
        </w:tblPrEx>
        <w:trPr>
          <w:trHeight w:val="607" w:hRule="atLeast"/>
        </w:trPr>
        <w:tc>
          <w:tcPr>
            <w:tcW w:w="1480" w:type="dxa"/>
            <w:tcBorders>
              <w:top w:val="nil"/>
              <w:left w:val="single" w:color="auto" w:sz="4" w:space="0"/>
              <w:bottom w:val="single" w:color="auto" w:sz="4" w:space="0"/>
              <w:right w:val="single" w:color="auto" w:sz="4" w:space="0"/>
            </w:tcBorders>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一级指标</w:t>
            </w:r>
          </w:p>
        </w:tc>
        <w:tc>
          <w:tcPr>
            <w:tcW w:w="1920" w:type="dxa"/>
            <w:tcBorders>
              <w:top w:val="nil"/>
              <w:left w:val="nil"/>
              <w:bottom w:val="single" w:color="auto" w:sz="4" w:space="0"/>
              <w:right w:val="single" w:color="auto" w:sz="4" w:space="0"/>
            </w:tcBorders>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二级指标</w:t>
            </w:r>
          </w:p>
        </w:tc>
        <w:tc>
          <w:tcPr>
            <w:tcW w:w="1560" w:type="dxa"/>
            <w:tcBorders>
              <w:top w:val="nil"/>
              <w:left w:val="nil"/>
              <w:bottom w:val="single" w:color="auto" w:sz="4" w:space="0"/>
              <w:right w:val="single" w:color="auto" w:sz="4" w:space="0"/>
            </w:tcBorders>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三级指标</w:t>
            </w:r>
          </w:p>
        </w:tc>
        <w:tc>
          <w:tcPr>
            <w:tcW w:w="1576" w:type="dxa"/>
            <w:gridSpan w:val="2"/>
            <w:tcBorders>
              <w:top w:val="nil"/>
              <w:left w:val="nil"/>
              <w:bottom w:val="single" w:color="auto" w:sz="4" w:space="0"/>
              <w:right w:val="single" w:color="auto" w:sz="4" w:space="0"/>
            </w:tcBorders>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年初目标值</w:t>
            </w:r>
          </w:p>
        </w:tc>
        <w:tc>
          <w:tcPr>
            <w:tcW w:w="1224" w:type="dxa"/>
            <w:tcBorders>
              <w:top w:val="nil"/>
              <w:left w:val="nil"/>
              <w:bottom w:val="single" w:color="auto" w:sz="4" w:space="0"/>
              <w:right w:val="single" w:color="auto" w:sz="4" w:space="0"/>
            </w:tcBorders>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实际完成值</w:t>
            </w:r>
          </w:p>
        </w:tc>
        <w:tc>
          <w:tcPr>
            <w:tcW w:w="1220" w:type="dxa"/>
            <w:tcBorders>
              <w:top w:val="nil"/>
              <w:left w:val="nil"/>
              <w:bottom w:val="single" w:color="auto" w:sz="4" w:space="0"/>
              <w:right w:val="single" w:color="auto" w:sz="4" w:space="0"/>
            </w:tcBorders>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得分</w:t>
            </w:r>
          </w:p>
        </w:tc>
      </w:tr>
      <w:tr>
        <w:tblPrEx>
          <w:tblCellMar>
            <w:top w:w="0" w:type="dxa"/>
            <w:left w:w="108" w:type="dxa"/>
            <w:bottom w:w="0" w:type="dxa"/>
            <w:right w:w="108" w:type="dxa"/>
          </w:tblCellMar>
        </w:tblPrEx>
        <w:trPr>
          <w:trHeight w:val="553" w:hRule="atLeast"/>
        </w:trPr>
        <w:tc>
          <w:tcPr>
            <w:tcW w:w="8980" w:type="dxa"/>
            <w:gridSpan w:val="7"/>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rFonts w:ascii="楷体_GB2312" w:hAnsi="宋体" w:eastAsia="楷体_GB2312" w:cs="宋体"/>
                <w:kern w:val="0"/>
                <w:sz w:val="20"/>
                <w:szCs w:val="20"/>
              </w:rPr>
            </w:pPr>
            <w:r>
              <w:rPr>
                <w:rFonts w:hint="eastAsia" w:ascii="楷体_GB2312" w:hAnsi="宋体" w:eastAsia="楷体_GB2312" w:cs="宋体"/>
                <w:kern w:val="0"/>
                <w:sz w:val="20"/>
                <w:szCs w:val="20"/>
              </w:rPr>
              <w:t>年度目标1（40分）：认真落实县三届人大二次会议决议，以依法履职尽责、服务保障大局为主线，以司法办案为中心，以检察改革为动力，以过硬队伍建设为保障，各项工作取得新进展。</w:t>
            </w:r>
          </w:p>
          <w:p>
            <w:pPr>
              <w:widowControl/>
              <w:jc w:val="left"/>
              <w:rPr>
                <w:rFonts w:ascii="楷体_GB2312" w:hAnsi="宋体" w:eastAsia="楷体_GB2312" w:cs="宋体"/>
                <w:kern w:val="0"/>
                <w:sz w:val="20"/>
                <w:szCs w:val="20"/>
              </w:rPr>
            </w:pPr>
          </w:p>
        </w:tc>
      </w:tr>
      <w:tr>
        <w:tblPrEx>
          <w:tblCellMar>
            <w:top w:w="0" w:type="dxa"/>
            <w:left w:w="108" w:type="dxa"/>
            <w:bottom w:w="0" w:type="dxa"/>
            <w:right w:w="108" w:type="dxa"/>
          </w:tblCellMar>
        </w:tblPrEx>
        <w:trPr>
          <w:trHeight w:val="555" w:hRule="atLeast"/>
        </w:trPr>
        <w:tc>
          <w:tcPr>
            <w:tcW w:w="1480" w:type="dxa"/>
            <w:vMerge w:val="restart"/>
            <w:tcBorders>
              <w:top w:val="nil"/>
              <w:left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rPr>
            </w:pPr>
            <w:r>
              <w:rPr>
                <w:rFonts w:hint="eastAsia" w:ascii="楷体_GB2312" w:hAnsi="宋体" w:eastAsia="楷体_GB2312" w:cs="宋体"/>
                <w:kern w:val="0"/>
                <w:sz w:val="20"/>
                <w:szCs w:val="20"/>
              </w:rPr>
              <w:t>产出指标</w:t>
            </w:r>
          </w:p>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w:t>
            </w:r>
            <w:r>
              <w:rPr>
                <w:rFonts w:hint="eastAsia" w:ascii="楷体_GB2312" w:hAnsi="宋体" w:eastAsia="楷体_GB2312" w:cs="宋体"/>
                <w:kern w:val="0"/>
                <w:sz w:val="20"/>
                <w:szCs w:val="20"/>
                <w:lang w:val="en-US" w:eastAsia="zh-CN"/>
              </w:rPr>
              <w:t>20分</w:t>
            </w:r>
            <w:r>
              <w:rPr>
                <w:rFonts w:hint="eastAsia" w:ascii="楷体_GB2312" w:hAnsi="宋体" w:eastAsia="楷体_GB2312" w:cs="宋体"/>
                <w:kern w:val="0"/>
                <w:sz w:val="20"/>
                <w:szCs w:val="20"/>
                <w:lang w:eastAsia="zh-CN"/>
              </w:rPr>
              <w:t>）</w:t>
            </w:r>
          </w:p>
        </w:tc>
        <w:tc>
          <w:tcPr>
            <w:tcW w:w="1920" w:type="dxa"/>
            <w:tcBorders>
              <w:top w:val="nil"/>
              <w:left w:val="nil"/>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数量指标</w:t>
            </w:r>
          </w:p>
        </w:tc>
        <w:tc>
          <w:tcPr>
            <w:tcW w:w="1560" w:type="dxa"/>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车辆维护额数量</w:t>
            </w:r>
          </w:p>
        </w:tc>
        <w:tc>
          <w:tcPr>
            <w:tcW w:w="1380" w:type="dxa"/>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车辆都得以维护</w:t>
            </w:r>
          </w:p>
        </w:tc>
        <w:tc>
          <w:tcPr>
            <w:tcW w:w="1420" w:type="dxa"/>
            <w:gridSpan w:val="2"/>
            <w:tcBorders>
              <w:top w:val="nil"/>
              <w:left w:val="nil"/>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lang w:eastAsia="zh-CN"/>
              </w:rPr>
              <w:t>车辆都得以维护</w:t>
            </w:r>
          </w:p>
        </w:tc>
        <w:tc>
          <w:tcPr>
            <w:tcW w:w="1220" w:type="dxa"/>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5</w:t>
            </w:r>
          </w:p>
        </w:tc>
      </w:tr>
      <w:tr>
        <w:tblPrEx>
          <w:tblCellMar>
            <w:top w:w="0" w:type="dxa"/>
            <w:left w:w="108" w:type="dxa"/>
            <w:bottom w:w="0" w:type="dxa"/>
            <w:right w:w="108" w:type="dxa"/>
          </w:tblCellMar>
        </w:tblPrEx>
        <w:trPr>
          <w:trHeight w:val="555" w:hRule="atLeast"/>
        </w:trPr>
        <w:tc>
          <w:tcPr>
            <w:tcW w:w="1480" w:type="dxa"/>
            <w:vMerge w:val="continue"/>
            <w:tcBorders>
              <w:left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p>
        </w:tc>
        <w:tc>
          <w:tcPr>
            <w:tcW w:w="1920" w:type="dxa"/>
            <w:tcBorders>
              <w:top w:val="nil"/>
              <w:left w:val="nil"/>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质量指标</w:t>
            </w:r>
          </w:p>
        </w:tc>
        <w:tc>
          <w:tcPr>
            <w:tcW w:w="1560" w:type="dxa"/>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设备设施万海率</w:t>
            </w:r>
          </w:p>
        </w:tc>
        <w:tc>
          <w:tcPr>
            <w:tcW w:w="1380" w:type="dxa"/>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100%</w:t>
            </w:r>
          </w:p>
        </w:tc>
        <w:tc>
          <w:tcPr>
            <w:tcW w:w="1420" w:type="dxa"/>
            <w:gridSpan w:val="2"/>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100%</w:t>
            </w:r>
          </w:p>
        </w:tc>
        <w:tc>
          <w:tcPr>
            <w:tcW w:w="1220" w:type="dxa"/>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5</w:t>
            </w:r>
          </w:p>
        </w:tc>
      </w:tr>
      <w:tr>
        <w:tblPrEx>
          <w:tblCellMar>
            <w:top w:w="0" w:type="dxa"/>
            <w:left w:w="108" w:type="dxa"/>
            <w:bottom w:w="0" w:type="dxa"/>
            <w:right w:w="108" w:type="dxa"/>
          </w:tblCellMar>
        </w:tblPrEx>
        <w:trPr>
          <w:trHeight w:val="555" w:hRule="atLeast"/>
        </w:trPr>
        <w:tc>
          <w:tcPr>
            <w:tcW w:w="1480" w:type="dxa"/>
            <w:vMerge w:val="continue"/>
            <w:tcBorders>
              <w:left w:val="single" w:color="auto" w:sz="4" w:space="0"/>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p>
        </w:tc>
        <w:tc>
          <w:tcPr>
            <w:tcW w:w="1920" w:type="dxa"/>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时效指标</w:t>
            </w:r>
          </w:p>
        </w:tc>
        <w:tc>
          <w:tcPr>
            <w:tcW w:w="1560" w:type="dxa"/>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系统运维保障及时率</w:t>
            </w:r>
          </w:p>
        </w:tc>
        <w:tc>
          <w:tcPr>
            <w:tcW w:w="1380" w:type="dxa"/>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100%</w:t>
            </w:r>
          </w:p>
        </w:tc>
        <w:tc>
          <w:tcPr>
            <w:tcW w:w="1420" w:type="dxa"/>
            <w:gridSpan w:val="2"/>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100%</w:t>
            </w:r>
          </w:p>
        </w:tc>
        <w:tc>
          <w:tcPr>
            <w:tcW w:w="1220" w:type="dxa"/>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10</w:t>
            </w:r>
          </w:p>
        </w:tc>
      </w:tr>
      <w:tr>
        <w:tblPrEx>
          <w:tblCellMar>
            <w:top w:w="0" w:type="dxa"/>
            <w:left w:w="108" w:type="dxa"/>
            <w:bottom w:w="0" w:type="dxa"/>
            <w:right w:w="108" w:type="dxa"/>
          </w:tblCellMar>
        </w:tblPrEx>
        <w:trPr>
          <w:trHeight w:val="555" w:hRule="atLeast"/>
        </w:trPr>
        <w:tc>
          <w:tcPr>
            <w:tcW w:w="1480" w:type="dxa"/>
            <w:vMerge w:val="restart"/>
            <w:tcBorders>
              <w:top w:val="nil"/>
              <w:left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rPr>
            </w:pPr>
            <w:r>
              <w:rPr>
                <w:rFonts w:hint="eastAsia" w:ascii="楷体_GB2312" w:hAnsi="宋体" w:eastAsia="楷体_GB2312" w:cs="宋体"/>
                <w:kern w:val="0"/>
                <w:sz w:val="20"/>
                <w:szCs w:val="20"/>
                <w:lang w:eastAsia="zh-CN"/>
              </w:rPr>
              <w:t xml:space="preserve"> </w:t>
            </w:r>
            <w:r>
              <w:rPr>
                <w:rFonts w:hint="eastAsia" w:ascii="楷体_GB2312" w:hAnsi="宋体" w:eastAsia="楷体_GB2312" w:cs="宋体"/>
                <w:kern w:val="0"/>
                <w:sz w:val="20"/>
                <w:szCs w:val="20"/>
              </w:rPr>
              <w:t>效益指标</w:t>
            </w:r>
          </w:p>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w:t>
            </w:r>
            <w:r>
              <w:rPr>
                <w:rFonts w:hint="eastAsia" w:ascii="楷体_GB2312" w:hAnsi="宋体" w:eastAsia="楷体_GB2312" w:cs="宋体"/>
                <w:kern w:val="0"/>
                <w:sz w:val="20"/>
                <w:szCs w:val="20"/>
                <w:lang w:val="en-US" w:eastAsia="zh-CN"/>
              </w:rPr>
              <w:t>20分</w:t>
            </w:r>
            <w:r>
              <w:rPr>
                <w:rFonts w:hint="eastAsia" w:ascii="楷体_GB2312" w:hAnsi="宋体" w:eastAsia="楷体_GB2312" w:cs="宋体"/>
                <w:kern w:val="0"/>
                <w:sz w:val="20"/>
                <w:szCs w:val="20"/>
                <w:lang w:eastAsia="zh-CN"/>
              </w:rPr>
              <w:t>）</w:t>
            </w:r>
          </w:p>
        </w:tc>
        <w:tc>
          <w:tcPr>
            <w:tcW w:w="1920" w:type="dxa"/>
            <w:tcBorders>
              <w:top w:val="nil"/>
              <w:left w:val="nil"/>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社会效益指标</w:t>
            </w:r>
          </w:p>
        </w:tc>
        <w:tc>
          <w:tcPr>
            <w:tcW w:w="1560" w:type="dxa"/>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司法救助率</w:t>
            </w:r>
          </w:p>
        </w:tc>
        <w:tc>
          <w:tcPr>
            <w:tcW w:w="1380" w:type="dxa"/>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val="en-US" w:eastAsia="zh-CN"/>
              </w:rPr>
              <w:t>5件</w:t>
            </w:r>
          </w:p>
        </w:tc>
        <w:tc>
          <w:tcPr>
            <w:tcW w:w="1420" w:type="dxa"/>
            <w:gridSpan w:val="2"/>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val="en-US" w:eastAsia="zh-CN"/>
              </w:rPr>
              <w:t>3件</w:t>
            </w:r>
          </w:p>
        </w:tc>
        <w:tc>
          <w:tcPr>
            <w:tcW w:w="1220" w:type="dxa"/>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6</w:t>
            </w:r>
          </w:p>
        </w:tc>
      </w:tr>
      <w:tr>
        <w:tblPrEx>
          <w:tblCellMar>
            <w:top w:w="0" w:type="dxa"/>
            <w:left w:w="108" w:type="dxa"/>
            <w:bottom w:w="0" w:type="dxa"/>
            <w:right w:w="108" w:type="dxa"/>
          </w:tblCellMar>
        </w:tblPrEx>
        <w:trPr>
          <w:trHeight w:val="555" w:hRule="atLeast"/>
        </w:trPr>
        <w:tc>
          <w:tcPr>
            <w:tcW w:w="1480" w:type="dxa"/>
            <w:vMerge w:val="continue"/>
            <w:tcBorders>
              <w:left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p>
        </w:tc>
        <w:tc>
          <w:tcPr>
            <w:tcW w:w="1920" w:type="dxa"/>
            <w:tcBorders>
              <w:top w:val="nil"/>
              <w:left w:val="nil"/>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社会效益指标</w:t>
            </w:r>
          </w:p>
        </w:tc>
        <w:tc>
          <w:tcPr>
            <w:tcW w:w="1560" w:type="dxa"/>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智慧检务辅助办案的占比</w:t>
            </w:r>
          </w:p>
        </w:tc>
        <w:tc>
          <w:tcPr>
            <w:tcW w:w="1380" w:type="dxa"/>
            <w:tcBorders>
              <w:top w:val="nil"/>
              <w:left w:val="nil"/>
              <w:bottom w:val="single" w:color="auto" w:sz="4" w:space="0"/>
              <w:right w:val="single" w:color="auto" w:sz="4" w:space="0"/>
            </w:tcBorders>
            <w:shd w:val="clear" w:color="auto" w:fill="FFFFFF"/>
            <w:vAlign w:val="center"/>
          </w:tcPr>
          <w:p>
            <w:pPr>
              <w:widowControl/>
              <w:ind w:left="400" w:hanging="400" w:hangingChars="200"/>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20%</w:t>
            </w:r>
          </w:p>
        </w:tc>
        <w:tc>
          <w:tcPr>
            <w:tcW w:w="1420" w:type="dxa"/>
            <w:gridSpan w:val="2"/>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5%</w:t>
            </w:r>
          </w:p>
        </w:tc>
        <w:tc>
          <w:tcPr>
            <w:tcW w:w="1220" w:type="dxa"/>
            <w:tcBorders>
              <w:top w:val="nil"/>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val="en-US" w:eastAsia="zh-CN"/>
              </w:rPr>
              <w:t>0</w:t>
            </w:r>
          </w:p>
        </w:tc>
      </w:tr>
      <w:tr>
        <w:tblPrEx>
          <w:tblCellMar>
            <w:top w:w="0" w:type="dxa"/>
            <w:left w:w="108" w:type="dxa"/>
            <w:bottom w:w="0" w:type="dxa"/>
            <w:right w:w="108" w:type="dxa"/>
          </w:tblCellMar>
        </w:tblPrEx>
        <w:trPr>
          <w:trHeight w:val="413" w:hRule="atLeast"/>
        </w:trPr>
        <w:tc>
          <w:tcPr>
            <w:tcW w:w="8980" w:type="dxa"/>
            <w:gridSpan w:val="7"/>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rPr>
                <w:rFonts w:ascii="楷体_GB2312" w:hAnsi="宋体" w:eastAsia="楷体_GB2312" w:cs="宋体"/>
                <w:kern w:val="0"/>
                <w:sz w:val="20"/>
                <w:szCs w:val="20"/>
              </w:rPr>
            </w:pPr>
            <w:r>
              <w:rPr>
                <w:rFonts w:hint="eastAsia" w:ascii="楷体_GB2312" w:hAnsi="宋体" w:eastAsia="楷体_GB2312" w:cs="宋体"/>
                <w:kern w:val="0"/>
                <w:sz w:val="20"/>
                <w:szCs w:val="20"/>
              </w:rPr>
              <w:t>年度绩效目标2（40分）继续保持省级文明单位、档案省特级、综合治理优胜、目标考核优秀、党建优秀单位称号</w:t>
            </w:r>
          </w:p>
        </w:tc>
      </w:tr>
      <w:tr>
        <w:tblPrEx>
          <w:tblCellMar>
            <w:top w:w="0" w:type="dxa"/>
            <w:left w:w="108" w:type="dxa"/>
            <w:bottom w:w="0" w:type="dxa"/>
            <w:right w:w="108" w:type="dxa"/>
          </w:tblCellMar>
        </w:tblPrEx>
        <w:trPr>
          <w:trHeight w:val="555" w:hRule="atLeast"/>
        </w:trPr>
        <w:tc>
          <w:tcPr>
            <w:tcW w:w="148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rPr>
            </w:pPr>
            <w:r>
              <w:rPr>
                <w:rFonts w:hint="eastAsia" w:ascii="楷体_GB2312" w:hAnsi="宋体" w:eastAsia="楷体_GB2312" w:cs="宋体"/>
                <w:kern w:val="0"/>
                <w:sz w:val="20"/>
                <w:szCs w:val="20"/>
              </w:rPr>
              <w:t>产出指标</w:t>
            </w:r>
          </w:p>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w:t>
            </w:r>
            <w:r>
              <w:rPr>
                <w:rFonts w:hint="eastAsia" w:ascii="楷体_GB2312" w:hAnsi="宋体" w:eastAsia="楷体_GB2312" w:cs="宋体"/>
                <w:kern w:val="0"/>
                <w:sz w:val="20"/>
                <w:szCs w:val="20"/>
                <w:lang w:val="en-US" w:eastAsia="zh-CN"/>
              </w:rPr>
              <w:t>20分</w:t>
            </w:r>
            <w:r>
              <w:rPr>
                <w:rFonts w:hint="eastAsia" w:ascii="楷体_GB2312" w:hAnsi="宋体" w:eastAsia="楷体_GB2312" w:cs="宋体"/>
                <w:kern w:val="0"/>
                <w:sz w:val="20"/>
                <w:szCs w:val="20"/>
                <w:lang w:eastAsia="zh-CN"/>
              </w:rPr>
              <w:t>）</w:t>
            </w:r>
          </w:p>
        </w:tc>
        <w:tc>
          <w:tcPr>
            <w:tcW w:w="192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时效指标</w:t>
            </w: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网络舆情实时监控率</w:t>
            </w:r>
          </w:p>
        </w:tc>
        <w:tc>
          <w:tcPr>
            <w:tcW w:w="138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100%</w:t>
            </w:r>
          </w:p>
        </w:tc>
        <w:tc>
          <w:tcPr>
            <w:tcW w:w="142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100%</w:t>
            </w:r>
          </w:p>
        </w:tc>
        <w:tc>
          <w:tcPr>
            <w:tcW w:w="122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10</w:t>
            </w:r>
          </w:p>
        </w:tc>
      </w:tr>
      <w:tr>
        <w:tblPrEx>
          <w:tblCellMar>
            <w:top w:w="0" w:type="dxa"/>
            <w:left w:w="108" w:type="dxa"/>
            <w:bottom w:w="0" w:type="dxa"/>
            <w:right w:w="108" w:type="dxa"/>
          </w:tblCellMar>
        </w:tblPrEx>
        <w:trPr>
          <w:trHeight w:val="555" w:hRule="atLeast"/>
        </w:trPr>
        <w:tc>
          <w:tcPr>
            <w:tcW w:w="148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p>
        </w:tc>
        <w:tc>
          <w:tcPr>
            <w:tcW w:w="192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质量指标</w:t>
            </w: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国家赔偿决定改变率</w:t>
            </w:r>
          </w:p>
        </w:tc>
        <w:tc>
          <w:tcPr>
            <w:tcW w:w="138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0%</w:t>
            </w:r>
          </w:p>
        </w:tc>
        <w:tc>
          <w:tcPr>
            <w:tcW w:w="142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0%</w:t>
            </w:r>
          </w:p>
        </w:tc>
        <w:tc>
          <w:tcPr>
            <w:tcW w:w="122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10</w:t>
            </w:r>
          </w:p>
        </w:tc>
      </w:tr>
      <w:tr>
        <w:tblPrEx>
          <w:tblCellMar>
            <w:top w:w="0" w:type="dxa"/>
            <w:left w:w="108" w:type="dxa"/>
            <w:bottom w:w="0" w:type="dxa"/>
            <w:right w:w="108" w:type="dxa"/>
          </w:tblCellMar>
        </w:tblPrEx>
        <w:trPr>
          <w:trHeight w:val="555" w:hRule="atLeast"/>
        </w:trPr>
        <w:tc>
          <w:tcPr>
            <w:tcW w:w="148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rPr>
            </w:pPr>
            <w:r>
              <w:rPr>
                <w:rFonts w:hint="eastAsia" w:ascii="楷体_GB2312" w:hAnsi="宋体" w:eastAsia="楷体_GB2312" w:cs="宋体"/>
                <w:kern w:val="0"/>
                <w:sz w:val="20"/>
                <w:szCs w:val="20"/>
              </w:rPr>
              <w:t>效益指标</w:t>
            </w:r>
          </w:p>
          <w:p>
            <w:pPr>
              <w:widowControl/>
              <w:jc w:val="center"/>
              <w:rPr>
                <w:rFonts w:hint="eastAsia" w:ascii="楷体_GB2312" w:hAnsi="宋体" w:eastAsia="楷体_GB2312" w:cs="宋体"/>
                <w:kern w:val="0"/>
                <w:sz w:val="20"/>
                <w:szCs w:val="20"/>
              </w:rPr>
            </w:pPr>
          </w:p>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eastAsia="zh-CN"/>
              </w:rPr>
              <w:t>（</w:t>
            </w:r>
            <w:r>
              <w:rPr>
                <w:rFonts w:hint="eastAsia" w:ascii="楷体_GB2312" w:hAnsi="宋体" w:eastAsia="楷体_GB2312" w:cs="宋体"/>
                <w:kern w:val="0"/>
                <w:sz w:val="20"/>
                <w:szCs w:val="20"/>
                <w:lang w:val="en-US" w:eastAsia="zh-CN"/>
              </w:rPr>
              <w:t>20分</w:t>
            </w:r>
            <w:r>
              <w:rPr>
                <w:rFonts w:hint="eastAsia" w:ascii="楷体_GB2312" w:hAnsi="宋体" w:eastAsia="楷体_GB2312" w:cs="宋体"/>
                <w:kern w:val="0"/>
                <w:sz w:val="20"/>
                <w:szCs w:val="20"/>
                <w:lang w:eastAsia="zh-CN"/>
              </w:rPr>
              <w:t>）</w:t>
            </w:r>
          </w:p>
        </w:tc>
        <w:tc>
          <w:tcPr>
            <w:tcW w:w="192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社会效益指标</w:t>
            </w:r>
          </w:p>
        </w:tc>
        <w:tc>
          <w:tcPr>
            <w:tcW w:w="156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lang w:eastAsia="zh-CN"/>
              </w:rPr>
              <w:t>司法救助率</w:t>
            </w:r>
          </w:p>
        </w:tc>
        <w:tc>
          <w:tcPr>
            <w:tcW w:w="138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val="en-US" w:eastAsia="zh-CN"/>
              </w:rPr>
              <w:t>5件</w:t>
            </w:r>
          </w:p>
        </w:tc>
        <w:tc>
          <w:tcPr>
            <w:tcW w:w="142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val="en-US" w:eastAsia="zh-CN"/>
              </w:rPr>
              <w:t>3件</w:t>
            </w:r>
          </w:p>
        </w:tc>
        <w:tc>
          <w:tcPr>
            <w:tcW w:w="122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val="en-US" w:eastAsia="zh-CN"/>
              </w:rPr>
              <w:t>6</w:t>
            </w:r>
          </w:p>
        </w:tc>
      </w:tr>
      <w:tr>
        <w:tblPrEx>
          <w:tblCellMar>
            <w:top w:w="0" w:type="dxa"/>
            <w:left w:w="108" w:type="dxa"/>
            <w:bottom w:w="0" w:type="dxa"/>
            <w:right w:w="108" w:type="dxa"/>
          </w:tblCellMar>
        </w:tblPrEx>
        <w:trPr>
          <w:trHeight w:val="555" w:hRule="atLeast"/>
        </w:trPr>
        <w:tc>
          <w:tcPr>
            <w:tcW w:w="148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eastAsia="zh-CN"/>
              </w:rPr>
              <w:t xml:space="preserve"> </w:t>
            </w:r>
            <w:r>
              <w:rPr>
                <w:rFonts w:hint="eastAsia" w:ascii="楷体_GB2312" w:hAnsi="宋体" w:eastAsia="楷体_GB2312" w:cs="宋体"/>
                <w:kern w:val="0"/>
                <w:sz w:val="20"/>
                <w:szCs w:val="20"/>
                <w:lang w:val="en-US" w:eastAsia="zh-CN"/>
              </w:rPr>
              <w:t xml:space="preserve"> </w:t>
            </w:r>
          </w:p>
        </w:tc>
        <w:tc>
          <w:tcPr>
            <w:tcW w:w="1920" w:type="dxa"/>
            <w:tcBorders>
              <w:top w:val="single" w:color="auto" w:sz="4" w:space="0"/>
              <w:left w:val="nil"/>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lang w:eastAsia="zh-CN"/>
              </w:rPr>
              <w:t>社会</w:t>
            </w:r>
            <w:r>
              <w:rPr>
                <w:rFonts w:hint="eastAsia" w:ascii="楷体_GB2312" w:hAnsi="宋体" w:eastAsia="楷体_GB2312" w:cs="宋体"/>
                <w:kern w:val="0"/>
                <w:sz w:val="20"/>
                <w:szCs w:val="20"/>
              </w:rPr>
              <w:t>效益指标</w:t>
            </w:r>
          </w:p>
        </w:tc>
        <w:tc>
          <w:tcPr>
            <w:tcW w:w="1560" w:type="dxa"/>
            <w:tcBorders>
              <w:top w:val="single" w:color="auto" w:sz="4" w:space="0"/>
              <w:left w:val="nil"/>
              <w:bottom w:val="single" w:color="auto" w:sz="4" w:space="0"/>
              <w:right w:val="single" w:color="auto" w:sz="4" w:space="0"/>
            </w:tcBorders>
            <w:shd w:val="clear" w:color="auto" w:fill="FFFFFF"/>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lang w:eastAsia="zh-CN"/>
              </w:rPr>
              <w:t>智慧检务辅助办案的占比</w:t>
            </w:r>
          </w:p>
        </w:tc>
        <w:tc>
          <w:tcPr>
            <w:tcW w:w="1380" w:type="dxa"/>
            <w:tcBorders>
              <w:top w:val="single" w:color="auto" w:sz="4" w:space="0"/>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20%</w:t>
            </w:r>
          </w:p>
        </w:tc>
        <w:tc>
          <w:tcPr>
            <w:tcW w:w="1420" w:type="dxa"/>
            <w:gridSpan w:val="2"/>
            <w:tcBorders>
              <w:top w:val="single" w:color="auto" w:sz="4" w:space="0"/>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5%</w:t>
            </w:r>
          </w:p>
        </w:tc>
        <w:tc>
          <w:tcPr>
            <w:tcW w:w="1220" w:type="dxa"/>
            <w:tcBorders>
              <w:top w:val="single" w:color="auto" w:sz="4" w:space="0"/>
              <w:left w:val="nil"/>
              <w:bottom w:val="single" w:color="auto" w:sz="4" w:space="0"/>
              <w:right w:val="single" w:color="auto" w:sz="4" w:space="0"/>
            </w:tcBorders>
            <w:shd w:val="clear" w:color="auto" w:fill="FFFFFF"/>
            <w:vAlign w:val="center"/>
          </w:tcPr>
          <w:p>
            <w:pPr>
              <w:widowControl/>
              <w:jc w:val="center"/>
              <w:rPr>
                <w:rFonts w:hint="eastAsia" w:ascii="楷体_GB2312" w:hAnsi="宋体" w:eastAsia="楷体_GB2312" w:cs="宋体"/>
                <w:kern w:val="0"/>
                <w:sz w:val="20"/>
                <w:szCs w:val="20"/>
                <w:lang w:eastAsia="zh-CN"/>
              </w:rPr>
            </w:pPr>
            <w:r>
              <w:rPr>
                <w:rFonts w:hint="eastAsia" w:ascii="楷体_GB2312" w:hAnsi="宋体" w:eastAsia="楷体_GB2312" w:cs="宋体"/>
                <w:kern w:val="0"/>
                <w:sz w:val="20"/>
                <w:szCs w:val="20"/>
                <w:lang w:val="en-US" w:eastAsia="zh-CN"/>
              </w:rPr>
              <w:t>0</w:t>
            </w:r>
          </w:p>
        </w:tc>
      </w:tr>
      <w:tr>
        <w:tblPrEx>
          <w:tblCellMar>
            <w:top w:w="0" w:type="dxa"/>
            <w:left w:w="108" w:type="dxa"/>
            <w:bottom w:w="0" w:type="dxa"/>
            <w:right w:w="108" w:type="dxa"/>
          </w:tblCellMar>
        </w:tblPrEx>
        <w:trPr>
          <w:trHeight w:val="1290" w:hRule="atLeast"/>
        </w:trPr>
        <w:tc>
          <w:tcPr>
            <w:tcW w:w="1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楷体_GB2312" w:hAnsi="宋体" w:eastAsia="楷体_GB2312" w:cs="宋体"/>
                <w:kern w:val="0"/>
                <w:sz w:val="20"/>
                <w:szCs w:val="20"/>
              </w:rPr>
              <w:t>总分</w:t>
            </w:r>
          </w:p>
        </w:tc>
        <w:tc>
          <w:tcPr>
            <w:tcW w:w="7500" w:type="dxa"/>
            <w:gridSpan w:val="6"/>
            <w:tcBorders>
              <w:top w:val="nil"/>
              <w:left w:val="nil"/>
              <w:bottom w:val="single" w:color="auto" w:sz="4" w:space="0"/>
              <w:right w:val="single" w:color="auto" w:sz="4" w:space="0"/>
            </w:tcBorders>
            <w:shd w:val="clear" w:color="auto" w:fill="FFFFFF"/>
            <w:vAlign w:val="center"/>
          </w:tcPr>
          <w:p>
            <w:pPr>
              <w:widowControl/>
              <w:jc w:val="center"/>
              <w:rPr>
                <w:rFonts w:hint="default" w:ascii="楷体_GB2312" w:hAnsi="宋体" w:eastAsia="楷体_GB2312" w:cs="宋体"/>
                <w:kern w:val="0"/>
                <w:sz w:val="20"/>
                <w:szCs w:val="20"/>
                <w:lang w:val="en-US" w:eastAsia="zh-CN"/>
              </w:rPr>
            </w:pPr>
            <w:r>
              <w:rPr>
                <w:rFonts w:hint="eastAsia" w:ascii="楷体_GB2312" w:hAnsi="宋体" w:eastAsia="楷体_GB2312" w:cs="宋体"/>
                <w:kern w:val="0"/>
                <w:sz w:val="20"/>
                <w:szCs w:val="20"/>
                <w:lang w:val="en-US" w:eastAsia="zh-CN"/>
              </w:rPr>
              <w:t>71.14</w:t>
            </w:r>
          </w:p>
        </w:tc>
      </w:tr>
      <w:tr>
        <w:tblPrEx>
          <w:tblCellMar>
            <w:top w:w="0" w:type="dxa"/>
            <w:left w:w="108" w:type="dxa"/>
            <w:bottom w:w="0" w:type="dxa"/>
            <w:right w:w="108" w:type="dxa"/>
          </w:tblCellMar>
        </w:tblPrEx>
        <w:trPr>
          <w:trHeight w:val="1290" w:hRule="atLeast"/>
        </w:trPr>
        <w:tc>
          <w:tcPr>
            <w:tcW w:w="1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_GB2312" w:hAnsi="宋体" w:eastAsia="楷体_GB2312" w:cs="宋体"/>
                <w:kern w:val="0"/>
                <w:sz w:val="20"/>
                <w:szCs w:val="20"/>
              </w:rPr>
            </w:pPr>
            <w:r>
              <w:rPr>
                <w:rFonts w:hint="eastAsia" w:ascii="楷体_GB2312" w:hAnsi="宋体" w:eastAsia="楷体_GB2312" w:cs="宋体"/>
                <w:kern w:val="0"/>
                <w:sz w:val="20"/>
                <w:szCs w:val="20"/>
              </w:rPr>
              <w:t>偏差大或目标未完成原因分析</w:t>
            </w:r>
          </w:p>
        </w:tc>
        <w:tc>
          <w:tcPr>
            <w:tcW w:w="7500" w:type="dxa"/>
            <w:gridSpan w:val="6"/>
            <w:tcBorders>
              <w:top w:val="nil"/>
              <w:left w:val="nil"/>
              <w:bottom w:val="single" w:color="auto" w:sz="4" w:space="0"/>
              <w:right w:val="single" w:color="auto" w:sz="4" w:space="0"/>
            </w:tcBorders>
            <w:shd w:val="clear" w:color="auto" w:fill="FFFFFF"/>
            <w:vAlign w:val="center"/>
          </w:tcPr>
          <w:p>
            <w:pPr>
              <w:widowControl/>
              <w:jc w:val="center"/>
              <w:rPr>
                <w:rFonts w:hint="eastAsia" w:ascii="Calibri" w:hAnsi="Calibri" w:eastAsia="宋体"/>
                <w:szCs w:val="22"/>
                <w:lang w:val="en-US" w:eastAsia="zh-CN"/>
              </w:rPr>
            </w:pPr>
            <w:r>
              <w:rPr>
                <w:rFonts w:hint="eastAsia" w:ascii="楷体_GB2312" w:hAnsi="宋体" w:eastAsia="楷体_GB2312" w:cs="宋体"/>
                <w:kern w:val="0"/>
                <w:sz w:val="20"/>
                <w:szCs w:val="20"/>
                <w:lang w:val="en-US" w:eastAsia="zh-CN" w:bidi="ar-SA"/>
              </w:rPr>
              <w:t>司法救助案件少，智慧检务辅助办案占比低。</w:t>
            </w:r>
            <w:bookmarkStart w:id="0" w:name="_GoBack"/>
            <w:bookmarkEnd w:id="0"/>
          </w:p>
        </w:tc>
      </w:tr>
      <w:tr>
        <w:tblPrEx>
          <w:tblCellMar>
            <w:top w:w="0" w:type="dxa"/>
            <w:left w:w="108" w:type="dxa"/>
            <w:bottom w:w="0" w:type="dxa"/>
            <w:right w:w="108" w:type="dxa"/>
          </w:tblCellMar>
        </w:tblPrEx>
        <w:trPr>
          <w:trHeight w:val="1290" w:hRule="atLeast"/>
        </w:trPr>
        <w:tc>
          <w:tcPr>
            <w:tcW w:w="14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_GB2312" w:hAnsi="宋体" w:eastAsia="楷体_GB2312" w:cs="宋体"/>
                <w:kern w:val="0"/>
                <w:sz w:val="20"/>
                <w:szCs w:val="20"/>
              </w:rPr>
            </w:pPr>
          </w:p>
          <w:p>
            <w:pPr>
              <w:widowControl/>
              <w:jc w:val="center"/>
            </w:pPr>
            <w:r>
              <w:rPr>
                <w:rFonts w:hint="eastAsia" w:ascii="楷体_GB2312" w:hAnsi="宋体" w:eastAsia="楷体_GB2312" w:cs="宋体"/>
                <w:kern w:val="0"/>
                <w:sz w:val="20"/>
                <w:szCs w:val="20"/>
              </w:rPr>
              <w:t>改进措施及结应用方案</w:t>
            </w:r>
          </w:p>
        </w:tc>
        <w:tc>
          <w:tcPr>
            <w:tcW w:w="7500" w:type="dxa"/>
            <w:gridSpan w:val="6"/>
            <w:tcBorders>
              <w:top w:val="nil"/>
              <w:left w:val="nil"/>
              <w:bottom w:val="single" w:color="auto" w:sz="4" w:space="0"/>
              <w:right w:val="single" w:color="auto" w:sz="4" w:space="0"/>
            </w:tcBorders>
            <w:shd w:val="clear" w:color="auto" w:fill="FFFFFF"/>
            <w:vAlign w:val="center"/>
          </w:tcPr>
          <w:p>
            <w:pPr>
              <w:pStyle w:val="3"/>
              <w:shd w:val="clear" w:color="auto" w:fill="FFFFFF"/>
              <w:ind w:firstLine="400" w:firstLineChars="200"/>
              <w:jc w:val="both"/>
              <w:rPr>
                <w:rFonts w:ascii="仿宋_GB2312" w:hAnsi="仿宋_GB2312" w:eastAsia="仿宋_GB2312" w:cs="仿宋_GB2312"/>
                <w:sz w:val="32"/>
                <w:szCs w:val="32"/>
              </w:rPr>
            </w:pPr>
            <w:r>
              <w:rPr>
                <w:rFonts w:hint="eastAsia" w:ascii="楷体_GB2312" w:hAnsi="宋体" w:eastAsia="楷体_GB2312" w:cs="宋体"/>
                <w:sz w:val="20"/>
                <w:szCs w:val="20"/>
              </w:rPr>
              <w:t>在日常预算管理过程中，进一步加强预算支出的审核、跟踪及预算执行情况分析。加强预算编制的前瞻性，按照新《预算法》及其实施条例的相关规定，按政策规定及本部门的发展规划，结合上一年度预算执行情况和本年度预算收支变化因素，科学、合理地编制本年预算草案，避免项目支出与基本支出划分不准或预算支出与实际执行出现较大偏差的情况，执行中确需调剂预算的，按规定程序报经批</w:t>
            </w:r>
            <w:r>
              <w:rPr>
                <w:rFonts w:hint="eastAsia" w:ascii="仿宋_GB2312" w:hAnsi="仿宋_GB2312" w:eastAsia="仿宋_GB2312" w:cs="仿宋_GB2312"/>
                <w:kern w:val="2"/>
                <w:sz w:val="32"/>
                <w:szCs w:val="32"/>
              </w:rPr>
              <w:t>。</w:t>
            </w:r>
          </w:p>
          <w:p>
            <w:pPr>
              <w:widowControl/>
              <w:jc w:val="left"/>
              <w:rPr>
                <w:rFonts w:ascii="楷体_GB2312" w:hAnsi="宋体" w:eastAsia="楷体_GB2312" w:cs="宋体"/>
                <w:kern w:val="0"/>
                <w:sz w:val="20"/>
                <w:szCs w:val="20"/>
              </w:rPr>
            </w:pPr>
          </w:p>
        </w:tc>
      </w:tr>
      <w:tr>
        <w:tblPrEx>
          <w:tblCellMar>
            <w:top w:w="0" w:type="dxa"/>
            <w:left w:w="108" w:type="dxa"/>
            <w:bottom w:w="0" w:type="dxa"/>
            <w:right w:w="108" w:type="dxa"/>
          </w:tblCellMar>
        </w:tblPrEx>
        <w:trPr>
          <w:trHeight w:val="2520" w:hRule="atLeast"/>
        </w:trPr>
        <w:tc>
          <w:tcPr>
            <w:tcW w:w="8980"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楷体_GB2312" w:hAnsi="宋体" w:eastAsia="楷体_GB2312" w:cs="宋体"/>
                <w:kern w:val="0"/>
                <w:sz w:val="20"/>
                <w:szCs w:val="20"/>
              </w:rPr>
            </w:pPr>
            <w:r>
              <w:rPr>
                <w:rFonts w:hint="eastAsia" w:ascii="楷体_GB2312" w:hAnsi="宋体" w:eastAsia="楷体_GB2312" w:cs="宋体"/>
                <w:kern w:val="0"/>
                <w:sz w:val="20"/>
                <w:szCs w:val="20"/>
              </w:rPr>
              <w:t>1.预算执行情况口径：预算数为调整后财政资金总额（包括上年结余结转），执行数为资金使用单位财政资金实际支出数。</w:t>
            </w:r>
            <w:r>
              <w:rPr>
                <w:rFonts w:hint="eastAsia" w:ascii="楷体_GB2312" w:hAnsi="宋体" w:eastAsia="楷体_GB2312" w:cs="宋体"/>
                <w:kern w:val="0"/>
                <w:sz w:val="20"/>
                <w:szCs w:val="20"/>
              </w:rPr>
              <w:br w:type="textWrapping"/>
            </w:r>
            <w:r>
              <w:rPr>
                <w:rFonts w:hint="eastAsia" w:ascii="楷体_GB2312" w:hAnsi="宋体" w:eastAsia="楷体_GB2312" w:cs="宋体"/>
                <w:kern w:val="0"/>
                <w:sz w:val="20"/>
                <w:szCs w:val="20"/>
              </w:rPr>
              <w:t>2.定量指标完成数汇总原则：绝对值直接累加计算，相对值按照资金额度加权平均计算。定量指标计分原则：正向指标（即目标值为≥X,得分=权重*B/A），反向指标（即目标值为≤X，得分=权重*A/B)，得分不得突破权重总额。定量指标先汇总完成数，再计算得分。</w:t>
            </w:r>
            <w:r>
              <w:rPr>
                <w:rFonts w:hint="eastAsia" w:ascii="楷体_GB2312" w:hAnsi="宋体" w:eastAsia="楷体_GB2312" w:cs="宋体"/>
                <w:kern w:val="0"/>
                <w:sz w:val="20"/>
                <w:szCs w:val="20"/>
              </w:rPr>
              <w:br w:type="textWrapping"/>
            </w:r>
            <w:r>
              <w:rPr>
                <w:rFonts w:hint="eastAsia" w:ascii="楷体_GB2312" w:hAnsi="宋体" w:eastAsia="楷体_GB2312" w:cs="宋体"/>
                <w:kern w:val="0"/>
                <w:sz w:val="20"/>
                <w:szCs w:val="20"/>
              </w:rPr>
              <w:t>3.定性指标计分原则：达成预期指标、部分达成预期指标并具有一定效果、未达成预期指标且效果较差三档，分别按照该指标对应分值区间100-80%（含80%）、80-50%（含50%）、50-0%合理确定分值。汇总时，以资金额度为权重，对分值进行加权平均计算。</w:t>
            </w:r>
            <w:r>
              <w:rPr>
                <w:rFonts w:hint="eastAsia" w:ascii="楷体_GB2312" w:hAnsi="宋体" w:eastAsia="楷体_GB2312" w:cs="宋体"/>
                <w:kern w:val="0"/>
                <w:sz w:val="20"/>
                <w:szCs w:val="20"/>
              </w:rPr>
              <w:br w:type="textWrapping"/>
            </w:r>
            <w:r>
              <w:rPr>
                <w:rFonts w:hint="eastAsia" w:ascii="楷体_GB2312" w:hAnsi="宋体" w:eastAsia="楷体_GB2312" w:cs="宋体"/>
                <w:kern w:val="0"/>
                <w:sz w:val="20"/>
                <w:szCs w:val="20"/>
              </w:rPr>
              <w:t>4.基于经济性和必要性等因素考虑，满意度指标暂可不作为必评指标。约束性指标以负数记分。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A66"/>
    <w:rsid w:val="006A7A4E"/>
    <w:rsid w:val="00890A66"/>
    <w:rsid w:val="2C225D8B"/>
    <w:rsid w:val="2CCF75BC"/>
    <w:rsid w:val="357614FC"/>
    <w:rsid w:val="44572369"/>
    <w:rsid w:val="5A3D7C23"/>
    <w:rsid w:val="61466137"/>
    <w:rsid w:val="7AC971EF"/>
    <w:rsid w:val="7EBE5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8"/>
    <w:uiPriority w:val="0"/>
    <w:pPr>
      <w:jc w:val="left"/>
    </w:pPr>
  </w:style>
  <w:style w:type="paragraph" w:styleId="3">
    <w:name w:val="Normal (Web)"/>
    <w:basedOn w:val="1"/>
    <w:unhideWhenUsed/>
    <w:qFormat/>
    <w:uiPriority w:val="0"/>
    <w:pPr>
      <w:spacing w:before="100" w:beforeAutospacing="1" w:after="100" w:afterAutospacing="1"/>
      <w:jc w:val="left"/>
    </w:pPr>
    <w:rPr>
      <w:rFonts w:ascii="Calibri" w:hAnsi="Calibri"/>
      <w:kern w:val="0"/>
      <w:sz w:val="24"/>
    </w:rPr>
  </w:style>
  <w:style w:type="paragraph" w:styleId="4">
    <w:name w:val="annotation subject"/>
    <w:basedOn w:val="2"/>
    <w:next w:val="2"/>
    <w:link w:val="9"/>
    <w:uiPriority w:val="0"/>
    <w:rPr>
      <w:b/>
      <w:bCs/>
    </w:rPr>
  </w:style>
  <w:style w:type="character" w:styleId="7">
    <w:name w:val="annotation reference"/>
    <w:basedOn w:val="6"/>
    <w:uiPriority w:val="0"/>
    <w:rPr>
      <w:sz w:val="21"/>
      <w:szCs w:val="21"/>
    </w:rPr>
  </w:style>
  <w:style w:type="character" w:customStyle="1" w:styleId="8">
    <w:name w:val="批注文字 字符"/>
    <w:basedOn w:val="6"/>
    <w:link w:val="2"/>
    <w:uiPriority w:val="0"/>
    <w:rPr>
      <w:kern w:val="2"/>
      <w:sz w:val="21"/>
      <w:szCs w:val="24"/>
    </w:rPr>
  </w:style>
  <w:style w:type="character" w:customStyle="1" w:styleId="9">
    <w:name w:val="批注主题 字符"/>
    <w:basedOn w:val="8"/>
    <w:link w:val="4"/>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201</Words>
  <Characters>1147</Characters>
  <Lines>9</Lines>
  <Paragraphs>2</Paragraphs>
  <TotalTime>15</TotalTime>
  <ScaleCrop>false</ScaleCrop>
  <LinksUpToDate>false</LinksUpToDate>
  <CharactersWithSpaces>1346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2021-03-15T08:49:00Z</dcterms:created>
  <dc:creator>Administrator</dc:creator>
  <cp:lastModifiedBy>花花</cp:lastModifiedBy>
  <dcterms:modified xsi:type="dcterms:W3CDTF">2021-03-25T08:44:11Z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14B8023CCFF74A14B9109347AF435CB6</vt:lpwstr>
  </property>
</Properties>
</file>